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br/>
        <w:t>Сообщение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Pr="005072FB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о возможном установлении публичного сервитута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Малоярославецкой районной администрацией муниципального района «Малоярославецкий район» рассматривается ходатайство ООО «Газпром газификация» об установлении публичного сервитута в целях складирования строительных и иных материалов, возведения некапитальных строений, сооружений (включая ограждения, бытовки, навесы) и (или) размещение строительной техники, которые необходимы для обеспечения строительства инженерного сооружения регионального значения «Газопровод межпоселковый к дер. Бураково Малоярославецкого района Калужской области».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Ходатайство об установлении публичного сервитута подано в отношении земельных участков со следующими кадастровыми номерами:</w:t>
      </w:r>
    </w:p>
    <w:tbl>
      <w:tblPr>
        <w:tblW w:w="0" w:type="dxa"/>
        <w:tblBorders>
          <w:top w:val="single" w:sz="6" w:space="0" w:color="CCCCCC"/>
          <w:lef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416"/>
      </w:tblGrid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b/>
                <w:bCs/>
                <w:kern w:val="0"/>
                <w:lang w:eastAsia="en-GB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b/>
                <w:bCs/>
                <w:kern w:val="0"/>
                <w:lang w:eastAsia="en-GB"/>
                <w14:ligatures w14:val="none"/>
              </w:rPr>
              <w:t>Кадастровые номера земельных участков (при их наличии), в отношении которых подано ходатайство об установлении публичного сервитута, адреса или иное описание местоположения таких земельных участков</w:t>
            </w:r>
          </w:p>
        </w:tc>
      </w:tr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40:13:000000:3195</w:t>
            </w:r>
          </w:p>
        </w:tc>
      </w:tr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40:13:000000:645</w:t>
            </w:r>
          </w:p>
        </w:tc>
      </w:tr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40:13:010812:11</w:t>
            </w:r>
          </w:p>
        </w:tc>
      </w:tr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40:13:010812:12</w:t>
            </w:r>
          </w:p>
        </w:tc>
      </w:tr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40:13:010812:166</w:t>
            </w:r>
          </w:p>
        </w:tc>
      </w:tr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40:13:010812:167</w:t>
            </w:r>
          </w:p>
        </w:tc>
      </w:tr>
      <w:tr w:rsidR="005072FB" w:rsidRPr="005072FB" w:rsidTr="005072FB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5072FB" w:rsidRPr="005072FB" w:rsidRDefault="005072FB" w:rsidP="005072FB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5072FB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40:13:010812</w:t>
            </w:r>
          </w:p>
        </w:tc>
      </w:tr>
    </w:tbl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Правообладатели земельных участков, в отношении которых испрашивается публичный сервитут, могут ознакомиться с поступившим ходатайством об установлении публичного сервитута и прилагаемым к нему описанием местоположения границ публичного сервитута в Малоярославецкой районной администрацией муниципального района «Малоярославецкий район» по адресу: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Калужская область, г.Малоярославец, пл.Ленина, д. 1, каб. 24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телефон для справок: 8-48431-3-14-24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время приема: пн. — чт. с 8.00 до 17.15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пт. 8.00 до 16.00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обед с 13.00 до 14.00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В течение пятнадцати дней со дня опубликования сообщения о поступившем ходатайстве об установлении публичного сервитута правообладатели земельных участков могут подать в Малоярославецкую районную администрацию муниципального района «Малоярославецкий район» заявления об учете прав на земельные участки, если их права не зарегистрированы в Едином государственном реестре недвижимости, с приложением копий документов, подтверждающих эти права (обременения прав).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Сообщение о поступившем ходатайстве об установлении публичного сервитута размещено в сети «Интернет» на официальных сайтах Малоярославецкой районной администрацией муниципального района «Малоярославецкий район», администрации сельского поселения «Село Кудиново».</w:t>
      </w:r>
    </w:p>
    <w:p w:rsidR="005072FB" w:rsidRPr="005072FB" w:rsidRDefault="005072FB" w:rsidP="005072FB">
      <w:pPr>
        <w:shd w:val="clear" w:color="auto" w:fill="FFFFFF"/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5072FB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Сообщение о возможном установлении публичного сервитута подготовлено в соответствии с пунктом 3 статьи 39.42 Земельного кодекса Российской Федерации в целях извещения правообладателей земельных участков, в отношении которых подано ходатайство об установлении публичного сервитута.</w:t>
      </w:r>
    </w:p>
    <w:p w:rsidR="008E0F69" w:rsidRPr="005072FB" w:rsidRDefault="008E0F69" w:rsidP="005072FB"/>
    <w:sectPr w:rsidR="008E0F69" w:rsidRPr="005072FB" w:rsidSect="008E0F69">
      <w:head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4B2" w:rsidRDefault="001424B2">
      <w:pPr>
        <w:spacing w:after="0" w:line="240" w:lineRule="auto"/>
      </w:pPr>
      <w:r>
        <w:separator/>
      </w:r>
    </w:p>
  </w:endnote>
  <w:endnote w:type="continuationSeparator" w:id="0">
    <w:p w:rsidR="001424B2" w:rsidRDefault="00142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394" w:rsidRDefault="00807394">
    <w:pPr>
      <w:pStyle w:val="Footer"/>
    </w:pPr>
  </w:p>
  <w:p w:rsidR="00807394" w:rsidRDefault="008073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4B2" w:rsidRDefault="001424B2">
      <w:pPr>
        <w:spacing w:after="0" w:line="240" w:lineRule="auto"/>
      </w:pPr>
      <w:r>
        <w:separator/>
      </w:r>
    </w:p>
  </w:footnote>
  <w:footnote w:type="continuationSeparator" w:id="0">
    <w:p w:rsidR="001424B2" w:rsidRDefault="00142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07394" w:rsidRDefault="00000000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807394" w:rsidRDefault="008073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69"/>
    <w:rsid w:val="001424B2"/>
    <w:rsid w:val="005072FB"/>
    <w:rsid w:val="00583D42"/>
    <w:rsid w:val="00807394"/>
    <w:rsid w:val="008E0F69"/>
    <w:rsid w:val="009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5A023E"/>
  <w15:chartTrackingRefBased/>
  <w15:docId w15:val="{581DB82E-5E6C-6C49-B5AB-FF3B4517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F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F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F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F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F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F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F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F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F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F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F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F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F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F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F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F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F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F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0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F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0F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F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F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0F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F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F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F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8E0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E0F6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uiPriority w:val="99"/>
    <w:rsid w:val="008E0F6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0F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E0F6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7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07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2025-03-20T08:20:00Z</dcterms:created>
  <dcterms:modified xsi:type="dcterms:W3CDTF">2025-03-28T08:22:00Z</dcterms:modified>
</cp:coreProperties>
</file>