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center"/>
        <w:rPr/>
      </w:pPr>
      <w:r>
        <w:rPr/>
        <w:drawing>
          <wp:inline distT="0" distB="0" distL="0" distR="0">
            <wp:extent cx="617220" cy="901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КАЛУЖСКАЯ ОБЛАСТЬ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МАЛОЯРОСЛАВЕЦКИЙ РАЙОН”</w:t>
      </w:r>
    </w:p>
    <w:p>
      <w:pPr>
        <w:pStyle w:val="Normal"/>
        <w:tabs>
          <w:tab w:val="clear" w:pos="709"/>
          <w:tab w:val="left" w:pos="6506" w:leader="none"/>
        </w:tabs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color w:val="000000"/>
          <w:sz w:val="26"/>
          <w:szCs w:val="26"/>
        </w:rPr>
        <w:t>От ______2024 г.                        г. Малоярославец                                         № _______</w:t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55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</w:tblGrid>
      <w:tr>
        <w:trPr>
          <w:trHeight w:val="2683" w:hRule="atLeast"/>
        </w:trPr>
        <w:tc>
          <w:tcPr>
            <w:tcW w:w="552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Об утверждении Положения о порядке предоставления из бюджета муниципального района «Малоярославецкий район»  субсидий  на возмещение части затрат на приобретение племенного молодняка крупного рогатого скота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</w:p>
        </w:tc>
      </w:tr>
    </w:tbl>
    <w:p>
      <w:pPr>
        <w:pStyle w:val="Normal"/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</w:t>
      </w:r>
      <w:r>
        <w:rPr>
          <w:rFonts w:cs="Tinos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>
        <w:rPr>
          <w:color w:val="000000"/>
          <w:sz w:val="26"/>
          <w:szCs w:val="26"/>
        </w:rPr>
        <w:t>», постановлением Малоярославецкой районной администрации муниципального района «Малоярославецкий район» от 01.11.2018 № 1181 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 продукции, сырья продовольствия в муниципальном районе «Малоярославецкий район»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 Положением о Малоярославецкой районной администрации муниципального района «Малоярославецкий район»,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/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/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6"/>
          <w:szCs w:val="26"/>
        </w:rPr>
        <w:t>ПОСТАНОВЛЯЮ:</w:t>
      </w:r>
    </w:p>
    <w:p>
      <w:pPr>
        <w:pStyle w:val="Normal"/>
        <w:ind w:left="0" w:right="0" w:hanging="0"/>
        <w:jc w:val="both"/>
        <w:rPr/>
      </w:pPr>
      <w:r>
        <w:rPr>
          <w:bCs/>
          <w:color w:val="000000"/>
          <w:sz w:val="26"/>
          <w:szCs w:val="26"/>
        </w:rPr>
        <w:tab/>
        <w:t xml:space="preserve">1.Утвердить </w:t>
      </w:r>
      <w:r>
        <w:rPr>
          <w:color w:val="000000"/>
          <w:sz w:val="26"/>
          <w:szCs w:val="26"/>
        </w:rPr>
        <w:t>Положение о порядке предоставления из бюджета муниципального района «Малоярославецкий район»  субсидий  на возмещение части затрат на приобретение племенного молодняка крупного рогатого скота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>
        <w:rPr>
          <w:bCs/>
          <w:color w:val="000000"/>
          <w:sz w:val="26"/>
          <w:szCs w:val="26"/>
        </w:rPr>
        <w:t xml:space="preserve"> (приложение).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2. Признать утратившим силу постановление Малоярославецкой районной администрации муниципального района «Малоярославецкий район» от 26.11.2020 № 1381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на приобретение племенного молодняка крупного рогатого скота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 «Малоярославецкий район» на поддержку отдельных отраслей сельскохозяйственного производства».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3.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678"/>
      </w:tblGrid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uppressLineNumbers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ind w:left="0" w:right="-108" w:hanging="0"/>
              <w:jc w:val="both"/>
              <w:rPr/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 xml:space="preserve">                                        </w:t>
            </w: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>
            <w:pPr>
              <w:pStyle w:val="Normal"/>
              <w:ind w:left="0" w:right="-108" w:firstLine="709"/>
              <w:jc w:val="right"/>
              <w:rPr>
                <w:rFonts w:eastAsia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алерий Леонидович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заведующий отделом сельского хозяйства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8/48431/ 2-18-00</w:t>
            </w:r>
          </w:p>
          <w:p>
            <w:pPr>
              <w:pStyle w:val="Normal"/>
              <w:rPr/>
            </w:pPr>
            <w:hyperlink r:id="rId3">
              <w:r>
                <w:rPr>
                  <w:rStyle w:val="Style14"/>
                  <w:sz w:val="20"/>
                  <w:szCs w:val="20"/>
                  <w:lang w:val="en-US"/>
                </w:rPr>
                <w:t>agromalojar</w:t>
              </w:r>
              <w:r>
                <w:rPr>
                  <w:rStyle w:val="Style14"/>
                  <w:sz w:val="20"/>
                  <w:szCs w:val="20"/>
                </w:rPr>
                <w:t>@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sz w:val="20"/>
                  <w:szCs w:val="20"/>
                </w:rPr>
                <w:t>.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clear" w:pos="709"/>
                <w:tab w:val="left" w:pos="429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Отп. 6  экз. 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экз. – отдел организационно-контрольной работы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финансовый отдел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экономического развития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сельского хозяйства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бухгалтерского учета</w:t>
            </w:r>
          </w:p>
          <w:p>
            <w:pPr>
              <w:pStyle w:val="Normal"/>
              <w:suppressLineNumbers/>
              <w:jc w:val="both"/>
              <w:rPr>
                <w:rFonts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napToGrid w:val="false"/>
              <w:ind w:left="0" w:right="-108" w:firstLine="709"/>
              <w:jc w:val="right"/>
              <w:rPr>
                <w:rFonts w:eastAsia="Arial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отделом сельского хозяйства</w:t>
        <w:tab/>
        <w:t xml:space="preserve">       Заведущий правовым отделом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_________________ В.Л.Богданов</w:t>
        <w:tab/>
        <w:tab/>
        <w:tab/>
        <w:t>______________ Е.А. Богачева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финансовым отделом</w:t>
        <w:tab/>
        <w:tab/>
        <w:t xml:space="preserve">       Заведующий отделом  бухгалтерского</w:t>
      </w:r>
    </w:p>
    <w:p>
      <w:pPr>
        <w:pStyle w:val="Normal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>учета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  <w:t>_________________ О.А.Лысцева</w:t>
        <w:tab/>
        <w:tab/>
        <w:tab/>
        <w:t>______________  Е.И.Тишкина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/>
      </w:pPr>
      <w:r>
        <w:rPr>
          <w:bCs/>
          <w:color w:val="000000"/>
          <w:sz w:val="26"/>
          <w:szCs w:val="26"/>
        </w:rPr>
        <w:t xml:space="preserve">Приложение 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Малоярославецкой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районной администрации муниципального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района «Малоярославецкий район»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от _____.2024 г.  № ____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  <w:bookmarkStart w:id="0" w:name="Par41"/>
      <w:bookmarkStart w:id="1" w:name="Par41"/>
      <w:bookmarkEnd w:id="1"/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Положение </w:t>
      </w:r>
    </w:p>
    <w:p>
      <w:pPr>
        <w:pStyle w:val="Normal"/>
        <w:ind w:left="0" w:right="0" w:hanging="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порядке предоставления из бюджета муниципального района «Малоярославецкий район»  субсидий  на возмещение части затрат на приобретение племенного молодняка крупного рогатого скота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1. Общие положения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>
          <w:color w:val="000000"/>
          <w:sz w:val="26"/>
          <w:szCs w:val="26"/>
        </w:rPr>
        <w:tab/>
        <w:t>1.1. Настоящее Положение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порядке предоставления из бюджета муниципального района «Малоярославецкий район»  субсидий  на возмещение части затрат на приобретение племенного молодняка крупного рогатого скота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 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1.2. Целью предоставления субсидий является развитие подотрасли животноводства и переработки продукции животноводства  на территории  муниципального района «Малоярославецкий район» в рамках реализации пункта 3.2. раздела 3 Программы.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районная администрация муниципального района «Малоярославецкий район» (далее -  Администрация).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>
      <w:pPr>
        <w:pStyle w:val="Normal"/>
        <w:ind w:left="0" w:right="0"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Условия и порядок предоставления субсидий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на приобретение отечественного и импортного племенного молодняка крупного рогатого скота. 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>
      <w:pPr>
        <w:pStyle w:val="Style16"/>
        <w:widowControl/>
        <w:spacing w:before="0" w:after="0"/>
        <w:ind w:left="0" w:right="0" w:hanging="0"/>
        <w:jc w:val="both"/>
        <w:rPr>
          <w:color w:val="00000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2" w:name="l140"/>
      <w:bookmarkEnd w:id="2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2)получатель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3" w:name="l24"/>
      <w:bookmarkEnd w:id="3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4" w:name="l141"/>
      <w:bookmarkStart w:id="5" w:name="l25"/>
      <w:bookmarkEnd w:id="4"/>
      <w:bookmarkEnd w:id="5"/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4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законом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"О контроле за деятельностью лиц, находящихся под иностранным влиянием";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5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пунктом 3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6" w:name="l143"/>
      <w:bookmarkStart w:id="7" w:name="l26"/>
      <w:bookmarkEnd w:id="6"/>
      <w:bookmarkEnd w:id="7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</w:t>
      </w:r>
      <w:hyperlink r:id="rId6">
        <w:r>
          <w:rPr>
            <w:rStyle w:val="Style14"/>
            <w:sz w:val="26"/>
            <w:szCs w:val="26"/>
          </w:rPr>
          <w:t>прожиточного минимума</w:t>
        </w:r>
      </w:hyperlink>
      <w:r>
        <w:rPr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>
          <w:rPr>
            <w:rStyle w:val="Style14"/>
            <w:sz w:val="26"/>
            <w:szCs w:val="26"/>
          </w:rPr>
          <w:t>подпункте «д» пункта 2.3</w:t>
        </w:r>
      </w:hyperlink>
      <w:r>
        <w:rPr>
          <w:sz w:val="26"/>
          <w:szCs w:val="26"/>
        </w:rPr>
        <w:t>. настоящего Положения;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>9)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widowControl/>
        <w:spacing w:before="200" w:after="0"/>
        <w:ind w:left="0" w:right="0" w:firstLine="54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8" w:name="l28"/>
      <w:bookmarkEnd w:id="8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10) 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расчет размера субсидии (приложение № 2);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Федерации.льного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>
      <w:pPr>
        <w:pStyle w:val="ConsPlusNormal"/>
        <w:spacing w:before="16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д) заверенные получателем копии документов, подтверждающих фактически произведенные затраты:</w:t>
      </w:r>
      <w:r>
        <w:rPr>
          <w:rFonts w:cs="Times New Roman" w:ascii="Times New Roman" w:hAnsi="Times New Roman"/>
          <w:bCs/>
          <w:sz w:val="26"/>
          <w:szCs w:val="26"/>
        </w:rPr>
        <w:t xml:space="preserve"> копии договоров на приобретение племенной продукции; платежных документов, подтверждающих оплату племенной продукции, включая авансовые платежи; счетов-фактур; актов приемки-передачи племенной продукции; племенных свидетельств. 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В случае заключения агентского договора при приобретении племенной продукции за рубежом предоставляется копия агентского договора. </w:t>
      </w:r>
      <w:r>
        <w:rPr>
          <w:rFonts w:cs="Times New Roman" w:ascii="Times New Roman" w:hAnsi="Times New Roman"/>
          <w:sz w:val="26"/>
          <w:szCs w:val="26"/>
        </w:rPr>
        <w:t>В случае приобретения племенной продукции за валюту представляются копии контрактов на приобретение племенной продукции, платежных поручений и/или документов, подтверждающих открытие аккредитива на оплату племенной продукции, свифтовых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сделки, племенных свидетельств.</w:t>
      </w:r>
    </w:p>
    <w:p>
      <w:pPr>
        <w:pStyle w:val="ConsPlusNormal"/>
        <w:ind w:left="0" w:right="0" w:firstLine="53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7">
        <w:r>
          <w:rPr>
            <w:rStyle w:val="Style14"/>
            <w:rFonts w:cs="Times New Roman" w:ascii="Times New Roman" w:hAnsi="Times New Roman"/>
            <w:sz w:val="26"/>
            <w:szCs w:val="26"/>
          </w:rPr>
          <w:t>статьи 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 от 29.12.2006 № 264-ФЗ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"О развитии сельского хозяйства" за календарный год, предшествующий текущему финансовому году, заверенные получателем копии </w:t>
      </w:r>
      <w:hyperlink r:id="rId8">
        <w:r>
          <w:rPr>
            <w:rStyle w:val="Style14"/>
            <w:rFonts w:cs="Times New Roman" w:ascii="Times New Roman" w:hAnsi="Times New Roman"/>
            <w:sz w:val="26"/>
            <w:szCs w:val="26"/>
          </w:rPr>
          <w:t>бухгалтерского баланса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и </w:t>
      </w:r>
      <w:hyperlink r:id="rId9">
        <w:r>
          <w:rPr>
            <w:rStyle w:val="Style14"/>
            <w:rFonts w:cs="Times New Roman" w:ascii="Times New Roman" w:hAnsi="Times New Roman"/>
            <w:sz w:val="26"/>
            <w:szCs w:val="26"/>
          </w:rPr>
          <w:t>отчета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 предпринимателей, заверенную получателем копию ведомости финансовых результатов </w:t>
      </w:r>
      <w:hyperlink r:id="rId10">
        <w:r>
          <w:rPr>
            <w:rStyle w:val="Style14"/>
            <w:rFonts w:cs="Times New Roman" w:ascii="Times New Roman" w:hAnsi="Times New Roman"/>
            <w:sz w:val="26"/>
            <w:szCs w:val="26"/>
          </w:rPr>
          <w:t>(форма N 5-КХ)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– для крестьянских (фермерских) хозяйств;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1">
        <w:r>
          <w:rPr>
            <w:rStyle w:val="Style14"/>
            <w:sz w:val="26"/>
            <w:szCs w:val="26"/>
          </w:rPr>
          <w:t>части 1 статьи 3</w:t>
        </w:r>
      </w:hyperlink>
      <w:r>
        <w:rPr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района;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>
      <w:pPr>
        <w:pStyle w:val="Normal"/>
        <w:ind w:left="0" w:right="0" w:hang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Секретарь комиссии проверяет: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Решение Комиссии в течение трех рабочих дней со дня  проведения заседания оформляется в виде протокола заседания комиссии, который утверждается </w:t>
      </w:r>
      <w:r>
        <w:rPr>
          <w:sz w:val="26"/>
          <w:szCs w:val="26"/>
        </w:rPr>
        <w:t>Главой Малоярославецкой районной администрации муниципального района «Малоярославецкий район».</w:t>
      </w:r>
      <w:r>
        <w:rPr>
          <w:bCs/>
          <w:color w:val="000000"/>
          <w:sz w:val="26"/>
          <w:szCs w:val="26"/>
        </w:rPr>
        <w:t xml:space="preserve"> 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>
      <w:pPr>
        <w:pStyle w:val="Normal"/>
        <w:widowControl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https://maloyar.ru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2.6. </w:t>
      </w:r>
      <w:r>
        <w:rPr>
          <w:rFonts w:ascii="Tinos" w:hAnsi="Tinos"/>
          <w:sz w:val="26"/>
          <w:szCs w:val="26"/>
        </w:rPr>
        <w:t>Основания для отказа получателю субсидии в предоставлении субсидии:</w:t>
      </w:r>
    </w:p>
    <w:p>
      <w:pPr>
        <w:pStyle w:val="Normal"/>
        <w:ind w:left="0" w:right="0" w:firstLine="540"/>
        <w:jc w:val="both"/>
        <w:rPr/>
      </w:pPr>
      <w:r>
        <w:rPr>
          <w:rFonts w:ascii="Tinos" w:hAnsi="Tinos"/>
          <w:sz w:val="26"/>
          <w:szCs w:val="26"/>
        </w:rPr>
        <w:t xml:space="preserve">-  несоответствие получателя требованиям, указанным в </w:t>
      </w:r>
      <w:hyperlink r:id="rId12">
        <w:r>
          <w:rPr>
            <w:rStyle w:val="Style14"/>
            <w:rFonts w:ascii="Tinos" w:hAnsi="Tinos"/>
            <w:sz w:val="26"/>
            <w:szCs w:val="26"/>
          </w:rPr>
          <w:t>пункте 2.2.</w:t>
        </w:r>
      </w:hyperlink>
      <w:r>
        <w:rPr>
          <w:rFonts w:ascii="Tinos" w:hAnsi="Tinos"/>
          <w:sz w:val="26"/>
          <w:szCs w:val="26"/>
        </w:rPr>
        <w:t xml:space="preserve">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2.7. Порядок расчета размера субсидии.</w:t>
      </w:r>
    </w:p>
    <w:p>
      <w:pPr>
        <w:pStyle w:val="ConsPlusNormal"/>
        <w:ind w:left="0" w:righ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предоставляемой получателю субсидии рассчитывается по формуле:</w:t>
      </w:r>
    </w:p>
    <w:p>
      <w:pPr>
        <w:pStyle w:val="Normal"/>
        <w:ind w:left="0" w:right="0"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Рс = 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Z </w:t>
      </w:r>
      <w:r>
        <w:rPr>
          <w:rFonts w:cs="Times New Roman" w:ascii="Times New Roman" w:hAnsi="Times New Roman"/>
          <w:sz w:val="26"/>
          <w:szCs w:val="26"/>
        </w:rPr>
        <w:t>x S,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 Рс - размер субсидии, предоставляемой получателю;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Z</w:t>
      </w:r>
      <w:r>
        <w:rPr>
          <w:rFonts w:cs="Times New Roman" w:ascii="Times New Roman" w:hAnsi="Times New Roman"/>
          <w:sz w:val="26"/>
          <w:szCs w:val="26"/>
        </w:rPr>
        <w:t xml:space="preserve"> – фактически произведенные в текущем финансовом году затраты на приобретение племенного молодняка крупного рогатого скота без учета налога на добавленную стоимость,  подтвержденные документами, указанными в </w:t>
      </w:r>
      <w:hyperlink w:anchor="P62">
        <w:r>
          <w:rPr>
            <w:rStyle w:val="Style14"/>
            <w:rFonts w:cs="Times New Roman" w:ascii="Times New Roman" w:hAnsi="Times New Roman"/>
            <w:sz w:val="26"/>
            <w:szCs w:val="26"/>
          </w:rPr>
          <w:t>подпункте «д» пункта 2.3</w:t>
        </w:r>
      </w:hyperlink>
      <w:r>
        <w:rPr>
          <w:rFonts w:cs="Times New Roman" w:ascii="Times New Roman" w:hAnsi="Times New Roman"/>
          <w:sz w:val="26"/>
          <w:szCs w:val="26"/>
        </w:rPr>
        <w:t>. настоящего  Положения;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S - ставка субсидии.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Размер ставки субсидии составляет 5 % фактически  произведенных получателем затрат на приобретение  племенного молодняка крупного рогатого скота без учета налога на добавленную стоимость.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недостижения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средств в бюджет муниципального района.        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>
      <w:pPr>
        <w:pStyle w:val="ConsPlusNormal"/>
        <w:tabs>
          <w:tab w:val="clear" w:pos="709"/>
          <w:tab w:val="left" w:pos="1574" w:leader="none"/>
        </w:tabs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>
      <w:pPr>
        <w:pStyle w:val="Normal"/>
        <w:ind w:left="0" w:right="0"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2.10. Результаты предоставления субсидии: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>2.10.1.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Тип результата предоставления субсидии - приобретение товаров: приобретен племенной молодняк крупного рогатого скота получателем.</w:t>
      </w:r>
    </w:p>
    <w:p>
      <w:pPr>
        <w:pStyle w:val="ConsPlusNormal"/>
        <w:ind w:left="0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ab/>
        <w:t>2.11.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9" w:name="l38"/>
      <w:bookmarkStart w:id="10" w:name="l154"/>
      <w:bookmarkEnd w:id="9"/>
      <w:bookmarkEnd w:id="1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1" w:name="l155"/>
      <w:bookmarkStart w:id="12" w:name="l39"/>
      <w:bookmarkEnd w:id="11"/>
      <w:bookmarkEnd w:id="1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4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5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статьей 18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3. Требования к отчетности</w:t>
      </w:r>
    </w:p>
    <w:p>
      <w:pPr>
        <w:pStyle w:val="Normal"/>
        <w:spacing w:before="200" w:after="0"/>
        <w:ind w:left="0" w:righ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>
      <w:pPr>
        <w:pStyle w:val="Normal"/>
        <w:widowControl/>
        <w:spacing w:before="200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 Требования  об осуществлении контроля за соблюдением условий, целей и порядка  предоставления субсидий  и ответственности за их нарушение</w:t>
      </w:r>
    </w:p>
    <w:p>
      <w:pPr>
        <w:pStyle w:val="Normal"/>
        <w:widowControl/>
        <w:spacing w:before="29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</w:t>
      </w:r>
      <w:r>
        <w:rPr>
          <w:rFonts w:eastAsia="Calibri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В случае нарушения получателем субсидии условий и порядка предоставления субсидий, установленных при предоставлении субсидии, выявленного в том числе по фактам проверок, проведенных Администрацией  и (или) органами государственного (муниципального) финансового контроля, а также в случае недостижения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 соответствии с пунктом 2.8. настоящего Положения.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приобретение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племенного молодняка крупного рогатого скота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в рамках реализации муниципальной программы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 «Малоярославецкий район»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«Развитие сельского хозяйства и регулирование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рынков сельскохозяйственной продукции, сырья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продовольствия в муниципальном районе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В Малоярославецкую районную администрацию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муниципального района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субсидии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получателя)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Просим предоставить субсидию на </w:t>
      </w:r>
      <w:r>
        <w:rPr>
          <w:bCs/>
          <w:sz w:val="26"/>
          <w:szCs w:val="26"/>
        </w:rPr>
        <w:t xml:space="preserve">возмещение части затрат, фактически произведенных в текущем финансовом году, на приобретение племенного молодняка крупного рогатого скота. </w:t>
      </w:r>
      <w:r>
        <w:rPr>
          <w:sz w:val="26"/>
          <w:szCs w:val="26"/>
        </w:rPr>
        <w:t xml:space="preserve">     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Достоверность всех сведений, содержащихся в заявлении и прилагаемых документах (всего  ____________ листов), подтверждаю.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С условиями и порядком предоставления субсидии ознакомлен (а)  и согласен (а).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       (подпись)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(подпись)       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  <w:t>Дата __________________ 20_____ г.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приобретение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племенного молодняка крупного рогатого скота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в рамках реализации муниципальной программы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 «Малоярославецкий район»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«Развитие сельского хозяйства и регулирование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рынков сельскохозяйственной продукции, сырья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продовольствия в муниципальном районе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размера субсидии</w:t>
      </w:r>
    </w:p>
    <w:p>
      <w:pPr>
        <w:pStyle w:val="ConsPlusNormal"/>
        <w:ind w:left="0" w:right="0" w:firstLine="567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bCs/>
          <w:sz w:val="26"/>
          <w:szCs w:val="26"/>
        </w:rPr>
        <w:t xml:space="preserve"> возмещение части затрат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на приобретение племенного молодняка крупного рогатого скота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за                год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получателя субсидии)</w:t>
      </w:r>
    </w:p>
    <w:p>
      <w:pPr>
        <w:pStyle w:val="ConsPlusNormal"/>
        <w:ind w:left="0" w:right="0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tbl>
      <w:tblPr>
        <w:tblW w:w="10319" w:type="dxa"/>
        <w:jc w:val="left"/>
        <w:tblInd w:w="-12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3375"/>
        <w:gridCol w:w="2062"/>
        <w:gridCol w:w="2507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Количество голов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Затраты (без учета налога на добавленную стоимость) на приобретение племенного молодняка крупного рогатого скота,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Размер субсидии, руб.</w:t>
            </w:r>
          </w:p>
          <w:p>
            <w:pPr>
              <w:pStyle w:val="ConsPlusNormal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>гр.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 x 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 xml:space="preserve">гр. 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>3/100), руб.</w:t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</w:tbl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widowControl w:val="false"/>
        <w:tabs>
          <w:tab w:val="clear" w:pos="709"/>
          <w:tab w:val="center" w:pos="5102" w:leader="none"/>
          <w:tab w:val="left" w:pos="6620" w:leader="none"/>
        </w:tabs>
        <w:spacing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no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 w:cs="Times New Roman"/>
      <w:sz w:val="26"/>
      <w:szCs w:val="26"/>
    </w:rPr>
  </w:style>
  <w:style w:type="character" w:styleId="ListLabel4">
    <w:name w:val="ListLabel 4"/>
    <w:qFormat/>
    <w:rPr>
      <w:rFonts w:ascii="Tinos" w:hAnsi="Tinos"/>
      <w:sz w:val="26"/>
      <w:szCs w:val="26"/>
    </w:rPr>
  </w:style>
  <w:style w:type="character" w:styleId="ListLabel5">
    <w:name w:val="ListLabel 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6">
    <w:name w:val="ListLabel 6"/>
    <w:qFormat/>
    <w:rPr>
      <w:rFonts w:ascii="Tinos" w:hAnsi="Tinos"/>
      <w:b w:val="false"/>
      <w:i w:val="false"/>
      <w:caps w:val="false"/>
      <w:smallCaps w:val="false"/>
      <w:color w:val="3C5F87"/>
      <w:spacing w:val="0"/>
      <w:sz w:val="26"/>
      <w:szCs w:val="26"/>
    </w:rPr>
  </w:style>
  <w:style w:type="character" w:styleId="ListLabel7">
    <w:name w:val="ListLabel 7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8">
    <w:name w:val="ListLabel 8"/>
    <w:qFormat/>
    <w:rPr>
      <w:sz w:val="26"/>
      <w:szCs w:val="26"/>
    </w:rPr>
  </w:style>
  <w:style w:type="character" w:styleId="ListLabel9">
    <w:name w:val="ListLabel 9"/>
    <w:qFormat/>
    <w:rPr>
      <w:rFonts w:ascii="Times New Roman" w:hAnsi="Times New Roman" w:cs="Times New Roman"/>
      <w:sz w:val="26"/>
      <w:szCs w:val="26"/>
    </w:rPr>
  </w:style>
  <w:style w:type="character" w:styleId="ListLabel10">
    <w:name w:val="ListLabel 10"/>
    <w:qFormat/>
    <w:rPr>
      <w:rFonts w:ascii="Tinos" w:hAnsi="Tinos"/>
      <w:sz w:val="26"/>
      <w:szCs w:val="26"/>
    </w:rPr>
  </w:style>
  <w:style w:type="character" w:styleId="ListLabel11">
    <w:name w:val="ListLabel 11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2">
    <w:name w:val="ListLabel 12"/>
    <w:qFormat/>
    <w:rPr>
      <w:sz w:val="20"/>
      <w:szCs w:val="20"/>
      <w:lang w:val="en-US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5">
    <w:name w:val="ListLabel 15"/>
    <w:qFormat/>
    <w:rPr>
      <w:sz w:val="26"/>
      <w:szCs w:val="26"/>
    </w:rPr>
  </w:style>
  <w:style w:type="character" w:styleId="ListLabel16">
    <w:name w:val="ListLabel 16"/>
    <w:qFormat/>
    <w:rPr>
      <w:rFonts w:ascii="Times New Roman" w:hAnsi="Times New Roman" w:cs="Times New Roman"/>
      <w:sz w:val="26"/>
      <w:szCs w:val="26"/>
    </w:rPr>
  </w:style>
  <w:style w:type="character" w:styleId="ListLabel17">
    <w:name w:val="ListLabel 17"/>
    <w:qFormat/>
    <w:rPr>
      <w:rFonts w:ascii="Tinos" w:hAnsi="Tinos"/>
      <w:sz w:val="26"/>
      <w:szCs w:val="26"/>
    </w:rPr>
  </w:style>
  <w:style w:type="character" w:styleId="ListLabel18">
    <w:name w:val="ListLabel 18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9">
    <w:name w:val="ListLabel 19"/>
    <w:qFormat/>
    <w:rPr>
      <w:sz w:val="20"/>
      <w:szCs w:val="20"/>
      <w:lang w:val="en-US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2">
    <w:name w:val="ListLabel 22"/>
    <w:qFormat/>
    <w:rPr>
      <w:sz w:val="26"/>
      <w:szCs w:val="26"/>
    </w:rPr>
  </w:style>
  <w:style w:type="character" w:styleId="ListLabel23">
    <w:name w:val="ListLabel 23"/>
    <w:qFormat/>
    <w:rPr>
      <w:rFonts w:ascii="Times New Roman" w:hAnsi="Times New Roman" w:cs="Times New Roman"/>
      <w:sz w:val="26"/>
      <w:szCs w:val="26"/>
    </w:rPr>
  </w:style>
  <w:style w:type="character" w:styleId="ListLabel24">
    <w:name w:val="ListLabel 24"/>
    <w:qFormat/>
    <w:rPr>
      <w:rFonts w:ascii="Tinos" w:hAnsi="Tinos"/>
      <w:sz w:val="26"/>
      <w:szCs w:val="26"/>
    </w:rPr>
  </w:style>
  <w:style w:type="character" w:styleId="ListLabel25">
    <w:name w:val="ListLabel 2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gromalojar@yandex.ru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_blank" TargetMode="External"/><Relationship Id="rId6" Type="http://schemas.openxmlformats.org/officeDocument/2006/relationships/hyperlink" Target="consultantplus://offline/ref=A4E7496F6CB7D157EC3507B2F29F7A3666F1A4CBADE24045BE085EED7F4DAD2Eb3l8I" TargetMode="External"/><Relationship Id="rId7" Type="http://schemas.openxmlformats.org/officeDocument/2006/relationships/hyperlink" Target="consultantplus://offline/ref=AF80A9A16772E51F5E2BFD4357BC468A9A834484968D481461E41F5F2EFDB3188020D400B7C17AC4D7A8M" TargetMode="External"/><Relationship Id="rId8" Type="http://schemas.openxmlformats.org/officeDocument/2006/relationships/hyperlink" Target="consultantplus://offline/ref=AF80A9A16772E51F5E2BFD4357BC468A998C4B83968C481461E41F5F2EFDB3188020D400B7C17AC7D7ADM" TargetMode="External"/><Relationship Id="rId9" Type="http://schemas.openxmlformats.org/officeDocument/2006/relationships/hyperlink" Target="consultantplus://offline/ref=AF80A9A16772E51F5E2BFD4357BC468A998C4B83968C481461E41F5F2EFDB3188020D402B7DCA7M" TargetMode="External"/><Relationship Id="rId10" Type="http://schemas.openxmlformats.org/officeDocument/2006/relationships/hyperlink" Target="consultantplus://offline/ref=AF80A9A16772E51F5E2BFD4357BC468A9F8241859CDB1F1630B1115A26ADFB08CE65D901B1C7D7A9M" TargetMode="External"/><Relationship Id="rId11" Type="http://schemas.openxmlformats.org/officeDocument/2006/relationships/hyperlink" Target="consultantplus://offline/ref=AF80A9A16772E51F5E2BFD4357BC468A9A834484968D481461E41F5F2EFDB3188020D400B7C17BC3D7A8M" TargetMode="External"/><Relationship Id="rId12" Type="http://schemas.openxmlformats.org/officeDocument/2006/relationships/hyperlink" Target="consultantplus://offline/ref=8A8B6DFF98A02D61B1974F453453AE052391C016819ECBFC205779FA9E0B44A33363A8D3E992475A4D3E96F7N6RBM" TargetMode="External"/><Relationship Id="rId13" Type="http://schemas.openxmlformats.org/officeDocument/2006/relationships/hyperlink" Target="_blank" TargetMode="External"/><Relationship Id="rId14" Type="http://schemas.openxmlformats.org/officeDocument/2006/relationships/hyperlink" Target="_blank" TargetMode="External"/><Relationship Id="rId15" Type="http://schemas.openxmlformats.org/officeDocument/2006/relationships/hyperlink" Target="_blank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LibreOffice/6.2.7.1$Linux_X86_64 LibreOffice_project/20$Build-1</Application>
  <Pages>14</Pages>
  <Words>3431</Words>
  <Characters>26930</Characters>
  <CharactersWithSpaces>31043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2024-01-31T09:46:54Z</dcterms:created>
  <dc:creator/>
  <dc:description/>
  <dc:language>ru-RU</dc:language>
  <cp:lastModifiedBy/>
  <dcterms:modified xsi:type="dcterms:W3CDTF">2024-03-04T12:19:57Z</dcterms:modified>
  <cp:revision>10</cp:revision>
  <dc:subject/>
  <dc:title/>
</cp:coreProperties>
</file>